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EC33D">
      <w:pPr>
        <w:pStyle w:val="2"/>
        <w:bidi w:val="0"/>
        <w:jc w:val="center"/>
        <w:rPr>
          <w:rFonts w:hint="eastAsia"/>
          <w:color w:val="auto"/>
        </w:rPr>
      </w:pPr>
      <w:bookmarkStart w:id="0" w:name="_Toc24934"/>
      <w:r>
        <w:rPr>
          <w:rFonts w:hint="eastAsia"/>
          <w:color w:val="auto"/>
        </w:rPr>
        <w:t>河南省招标投标协会关于印发《河南省招标代理服务收费指导意见》的通知</w:t>
      </w:r>
      <w:bookmarkEnd w:id="0"/>
    </w:p>
    <w:p w14:paraId="281C9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default" w:ascii="仿宋_GB2312" w:hAnsi="Calibri" w:eastAsia="仿宋_GB2312" w:cs="仿宋_GB2312"/>
          <w:i w:val="0"/>
          <w:iCs w:val="0"/>
          <w:caps w:val="0"/>
          <w:color w:val="auto"/>
          <w:spacing w:val="0"/>
          <w:kern w:val="0"/>
          <w:sz w:val="32"/>
          <w:szCs w:val="32"/>
          <w:shd w:val="clear" w:color="auto" w:fill="auto"/>
          <w:lang w:val="en-US" w:eastAsia="zh-CN" w:bidi="ar"/>
        </w:rPr>
      </w:pPr>
      <w:r>
        <w:rPr>
          <w:color w:val="auto"/>
        </w:rPr>
        <w:drawing>
          <wp:inline distT="0" distB="0" distL="114300" distR="114300">
            <wp:extent cx="5272405" cy="6063615"/>
            <wp:effectExtent l="0" t="0" r="4445" b="1333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4"/>
                    <a:stretch>
                      <a:fillRect/>
                    </a:stretch>
                  </pic:blipFill>
                  <pic:spPr>
                    <a:xfrm>
                      <a:off x="0" y="0"/>
                      <a:ext cx="5272405" cy="6063615"/>
                    </a:xfrm>
                    <a:prstGeom prst="rect">
                      <a:avLst/>
                    </a:prstGeom>
                    <a:noFill/>
                    <a:ln>
                      <a:noFill/>
                    </a:ln>
                  </pic:spPr>
                </pic:pic>
              </a:graphicData>
            </a:graphic>
          </wp:inline>
        </w:drawing>
      </w:r>
    </w:p>
    <w:p w14:paraId="3CB12886">
      <w:pPr>
        <w:rPr>
          <w:rFonts w:hint="default"/>
          <w:color w:val="auto"/>
          <w:lang w:val="en-US" w:eastAsia="zh-CN"/>
        </w:rPr>
      </w:pPr>
      <w:r>
        <w:rPr>
          <w:rFonts w:hint="default"/>
          <w:color w:val="auto"/>
          <w:lang w:val="en-US" w:eastAsia="zh-CN"/>
        </w:rPr>
        <w:br w:type="page"/>
      </w:r>
    </w:p>
    <w:p w14:paraId="3472CD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jc w:val="center"/>
        <w:rPr>
          <w:rFonts w:hint="eastAsia" w:ascii="宋体" w:hAnsi="宋体" w:eastAsia="宋体" w:cs="宋体"/>
          <w:i w:val="0"/>
          <w:iCs w:val="0"/>
          <w:caps w:val="0"/>
          <w:color w:val="auto"/>
          <w:spacing w:val="0"/>
          <w:sz w:val="32"/>
          <w:szCs w:val="32"/>
          <w:shd w:val="clear" w:color="auto" w:fill="auto"/>
        </w:rPr>
      </w:pPr>
      <w:r>
        <w:rPr>
          <w:rStyle w:val="6"/>
          <w:rFonts w:hint="eastAsia" w:ascii="宋体" w:hAnsi="宋体" w:eastAsia="宋体" w:cs="宋体"/>
          <w:i w:val="0"/>
          <w:iCs w:val="0"/>
          <w:caps w:val="0"/>
          <w:color w:val="auto"/>
          <w:spacing w:val="0"/>
          <w:kern w:val="2"/>
          <w:sz w:val="32"/>
          <w:szCs w:val="32"/>
          <w:shd w:val="clear" w:color="auto" w:fill="auto"/>
          <w:lang w:bidi="ar-SA"/>
        </w:rPr>
        <w:t>河南省招标代理服务收费指导意见</w:t>
      </w:r>
    </w:p>
    <w:p w14:paraId="4A9C29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shd w:val="clear" w:color="auto" w:fill="auto"/>
        </w:rPr>
      </w:pPr>
      <w:r>
        <w:rPr>
          <w:rFonts w:hint="eastAsia" w:ascii="微软雅黑" w:hAnsi="微软雅黑" w:eastAsia="微软雅黑" w:cs="微软雅黑"/>
          <w:i w:val="0"/>
          <w:iCs w:val="0"/>
          <w:caps w:val="0"/>
          <w:color w:val="auto"/>
          <w:spacing w:val="0"/>
          <w:sz w:val="24"/>
          <w:szCs w:val="24"/>
          <w:shd w:val="clear" w:color="auto" w:fill="auto"/>
        </w:rPr>
        <w:t> </w:t>
      </w:r>
      <w:r>
        <w:rPr>
          <w:rFonts w:hint="eastAsia" w:ascii="仿宋" w:hAnsi="仿宋" w:eastAsia="仿宋" w:cs="仿宋"/>
          <w:i w:val="0"/>
          <w:iCs w:val="0"/>
          <w:caps w:val="0"/>
          <w:color w:val="auto"/>
          <w:spacing w:val="0"/>
          <w:sz w:val="30"/>
          <w:szCs w:val="30"/>
          <w:shd w:val="clear" w:color="auto" w:fill="auto"/>
        </w:rPr>
        <w:t>第一条 为了规范招标代理服务收费行为，维护招标人、投标人和招标代理机构的合法权益，促进行业健康发展，根据《中华人民共和国招标投标法》《中华人民共和国政府采购法》和《国家发展改革委关于进一步放开建设项目专业服务价格的通知》（发改价格[2015]299号）《明码标价和禁止价格欺诈规定》（国家市场监督管理总局令第56号 ）《招标代理服务规范》（GB/38357-2019国家市场监督管理总局、国家标准化管理委员会）等规定,制定《河南省招标代理服务收费指导意见》（以下简称指导意见）。</w:t>
      </w:r>
    </w:p>
    <w:p w14:paraId="5B2770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color="auto" w:fill="auto"/>
        </w:rPr>
        <w:t>第二条  河南省行政区域内</w:t>
      </w:r>
      <w:r>
        <w:rPr>
          <w:rFonts w:hint="eastAsia" w:ascii="仿宋" w:hAnsi="仿宋" w:eastAsia="仿宋" w:cs="仿宋"/>
          <w:i w:val="0"/>
          <w:iCs w:val="0"/>
          <w:caps w:val="0"/>
          <w:color w:val="auto"/>
          <w:spacing w:val="0"/>
          <w:sz w:val="30"/>
          <w:szCs w:val="30"/>
          <w:shd w:val="clear" w:fill="F7FAFF"/>
        </w:rPr>
        <w:t>招标代理服务收费活动适用本指导意见。</w:t>
      </w:r>
    </w:p>
    <w:p w14:paraId="58F32B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第三条  招标代理服务费是指招标代理机构接受委托，提供代理工程、货物和服务招标，编制资格预审文件或者招标文件、组织资格预审或者资格审查，踏勘现场并答疑，组织开标、评标，以及提供招标前期咨询、协调合同的签订等服务所收取的费用。</w:t>
      </w:r>
    </w:p>
    <w:p w14:paraId="2AF21F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第四条  招标代理机构是依法设立、从事招标代理业务，具有从事招标代理业务的营业场所和相应资金，具有能够编制招标文件和组织评标的相应专业力量，并提供相关服务的社会中介组织。</w:t>
      </w:r>
    </w:p>
    <w:p w14:paraId="6FDE31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第五条  招标代理机构应当遵守国家法律、法规和行业行为准则规范，积极转变服务理念和服务方式，主动适应市场和政策变化，根据本指导意见及附件中的计算标准和市场供需、物价水平、服务内容、质量和深度、成本投入等综合因素，与招标人协商确定招标代理服务收费金额或标准。</w:t>
      </w:r>
    </w:p>
    <w:p w14:paraId="5AECBE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第六条 招标代理机构应当与委托人依法签订书面委托合同，明确服务范围、服务内容、双方责任和收费标准等，在招标人委托的范围内办理招标事宜，应当遵守国家法律法规及政策规定，符合代理项目的技术、质量和服务要求。</w:t>
      </w:r>
    </w:p>
    <w:p w14:paraId="53A5E1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第七条 招标代理服务收费实行差额定率累进法计取。</w:t>
      </w:r>
    </w:p>
    <w:p w14:paraId="0D5A9B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第八条 招标人、招标代理机构在书面委托合同中应当明确约定招标代理服务费由招标人支付或者中标人（成交供应商）支付。</w:t>
      </w:r>
    </w:p>
    <w:p w14:paraId="29628D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约定由中标人（成交供应商）支付的，招标代理机构应当在招标文件中明示招标代理费用收取方式、计算标准或数额，投标人（供应商）的投标报价应当包含该代理费用。</w:t>
      </w:r>
    </w:p>
    <w:p w14:paraId="2C7B40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第九条 依据本指导意见计算的收费金额为招标代理服务费的基准价格，但不含工程量清单、工程标底或工程招标控制价的编制费用。</w:t>
      </w:r>
    </w:p>
    <w:p w14:paraId="65A0AA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根据项目实际情况，对项目分标段（包）、分专业、分期/分批进行招标的，以每个项目、标段（包）的中标（成交）金额或预算金额或最高投标限价（招标控制价）作为计费基数，按标段和招标次数分别计算招标代理服务费。招标代理服务费的浮动幅度为基准价格的±20%，收费金额由招标代理机构与委托人根据项目实际需要、复杂程度、委托内容等情况，在规定的基准价格和浮动幅度内协商确定。</w:t>
      </w:r>
    </w:p>
    <w:p w14:paraId="1E7B74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第十条 招标代理机构提供服务超出本指导意见规定范围的，如合同管理咨询或其他服务，招标代理机构可以与招标人就所增加的工作量，另行协商确定服务费用。</w:t>
      </w:r>
    </w:p>
    <w:p w14:paraId="21E569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第十一条 招标代理过程中发生非招标代理机构原因造成招标失败时，招标代理服务费按以下方法计算：</w:t>
      </w:r>
    </w:p>
    <w:p w14:paraId="513F91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（1）未进入评标阶段，招标代理服务费以预算金额或最高投标限价（招标控制价）为基数按附件中收费标准的30%计算，重新招标仍未进入评标阶段，不再重复收取；</w:t>
      </w:r>
    </w:p>
    <w:p w14:paraId="324CE1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（2）已进入评标阶段，本次招标代理服务费以预算金额或最高投标限价（招标控制价）为基数按附件中收费标准的50%计算。</w:t>
      </w:r>
    </w:p>
    <w:p w14:paraId="732472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若合同约定招标代理服务费由中标人（成交供应商）支付，发生以上两种情形，招标失败阶段的招标代理服务费由招标人支付。</w:t>
      </w:r>
    </w:p>
    <w:p w14:paraId="27309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第十二条 河南省招标投标协会发布的本指导意见，是河南省招标代理服务行业计取服务费用的指导性依据。</w:t>
      </w:r>
    </w:p>
    <w:p w14:paraId="70C94E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第十三条 河南省招标投标协会加强行业自律建设和管理，引导招标代理机构依法诚信代理，对扰乱招标代理服务市场秩序的招标代理机构及个人采取必要措施。</w:t>
      </w:r>
    </w:p>
    <w:p w14:paraId="7D9F64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第十四条 本指导意见发布的招标代理服务收费计算标准，随招标代理市场变化适时修订公布。</w:t>
      </w:r>
    </w:p>
    <w:p w14:paraId="1AD501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第十五条 本指导意见自 2023年3月1日起施行，由河南省招标投标协会负责解释。</w:t>
      </w:r>
    </w:p>
    <w:p w14:paraId="74F8C1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 </w:t>
      </w:r>
    </w:p>
    <w:p w14:paraId="1686F2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附件: 河南省招标代理服务收费计算标准        </w:t>
      </w:r>
    </w:p>
    <w:p w14:paraId="5CFB01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30"/>
          <w:szCs w:val="30"/>
          <w:shd w:val="clear" w:fill="F7FAFF"/>
        </w:rPr>
        <w:t> </w:t>
      </w:r>
      <w:r>
        <w:rPr>
          <w:rStyle w:val="6"/>
          <w:rFonts w:hint="eastAsia" w:ascii="微软雅黑" w:hAnsi="微软雅黑" w:eastAsia="微软雅黑" w:cs="微软雅黑"/>
          <w:i w:val="0"/>
          <w:iCs w:val="0"/>
          <w:caps w:val="0"/>
          <w:color w:val="auto"/>
          <w:spacing w:val="0"/>
          <w:kern w:val="2"/>
          <w:sz w:val="24"/>
          <w:szCs w:val="24"/>
          <w:shd w:val="clear" w:fill="F7FAFF"/>
          <w:lang w:bidi="ar-SA"/>
        </w:rPr>
        <w:t>河南省招标代理服务收费计算标准</w:t>
      </w:r>
    </w:p>
    <w:tbl>
      <w:tblPr>
        <w:tblStyle w:val="4"/>
        <w:tblW w:w="83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AFF"/>
        <w:tblLayout w:type="autofit"/>
        <w:tblCellMar>
          <w:top w:w="15" w:type="dxa"/>
          <w:left w:w="15" w:type="dxa"/>
          <w:bottom w:w="15" w:type="dxa"/>
          <w:right w:w="15" w:type="dxa"/>
        </w:tblCellMar>
      </w:tblPr>
      <w:tblGrid>
        <w:gridCol w:w="4112"/>
        <w:gridCol w:w="1440"/>
        <w:gridCol w:w="1418"/>
        <w:gridCol w:w="1405"/>
      </w:tblGrid>
      <w:tr w14:paraId="66FF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6E6CBB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color w:val="auto"/>
              </w:rPr>
            </w:pPr>
            <w:r>
              <w:rPr>
                <w:rStyle w:val="6"/>
                <w:rFonts w:hint="eastAsia" w:ascii="微软雅黑" w:hAnsi="微软雅黑" w:eastAsia="微软雅黑" w:cs="微软雅黑"/>
                <w:i w:val="0"/>
                <w:iCs w:val="0"/>
                <w:caps w:val="0"/>
                <w:color w:val="auto"/>
                <w:spacing w:val="0"/>
                <w:kern w:val="2"/>
                <w:sz w:val="24"/>
                <w:szCs w:val="24"/>
                <w:shd w:val="clear" w:fill="F7FAFF"/>
                <w:lang w:bidi="ar-SA"/>
              </w:rPr>
              <w:t> </w:t>
            </w:r>
            <w:r>
              <w:rPr>
                <w:rFonts w:hint="eastAsia" w:ascii="微软雅黑" w:hAnsi="微软雅黑" w:eastAsia="微软雅黑" w:cs="微软雅黑"/>
                <w:i w:val="0"/>
                <w:iCs w:val="0"/>
                <w:caps w:val="0"/>
                <w:color w:val="auto"/>
                <w:spacing w:val="0"/>
                <w:sz w:val="24"/>
                <w:szCs w:val="24"/>
              </w:rPr>
              <w:t>费率             项目类型</w:t>
            </w:r>
          </w:p>
          <w:p w14:paraId="299A4D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预算</w:t>
            </w:r>
          </w:p>
          <w:p w14:paraId="0E718F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金额（万元）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7A6335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工程</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13F989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货物</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3203C8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服务</w:t>
            </w:r>
          </w:p>
        </w:tc>
      </w:tr>
      <w:tr w14:paraId="41AC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5B42D5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100万元以下（含100万元）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65E08D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1.2%</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4C9F1E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1.7%</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700310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1.7%</w:t>
            </w:r>
          </w:p>
        </w:tc>
      </w:tr>
      <w:tr w14:paraId="7932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15E486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100-500万元（含500万元）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39CBEA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1.0%</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3FAC85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1.2%</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78B198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1.2%</w:t>
            </w:r>
          </w:p>
        </w:tc>
      </w:tr>
      <w:tr w14:paraId="58F1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7371D2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500-1000万元（含1000万元）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55959F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0.7%</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4F7983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0.8%</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63D63B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0.7%</w:t>
            </w:r>
          </w:p>
        </w:tc>
      </w:tr>
      <w:tr w14:paraId="03F3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2BB6D1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1000-5000万元（含5000万元）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727572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0.4%</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550ADE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0.5%</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5475EF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0.4%</w:t>
            </w:r>
          </w:p>
        </w:tc>
      </w:tr>
      <w:tr w14:paraId="6CE3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1851EF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5000万元-1亿元（含1亿元）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51D5C8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0.25%</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4BD080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0.30%</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18DB68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0.250%</w:t>
            </w:r>
          </w:p>
        </w:tc>
      </w:tr>
      <w:tr w14:paraId="3C9D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6361F1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1-5亿元（含5亿元）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52CA3A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0.10%</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35C58A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0.10%</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14E10C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0.10%</w:t>
            </w:r>
          </w:p>
        </w:tc>
      </w:tr>
      <w:tr w14:paraId="4B55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4D7C71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5-10亿元（含10亿元）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4A2E0F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0.045%</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051BF5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0.045%</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349EFD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0.045%</w:t>
            </w:r>
          </w:p>
        </w:tc>
      </w:tr>
      <w:tr w14:paraId="53C0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6536D5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10-50亿元（含50亿元）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5C9325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0.010%</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550FDE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0.01%</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2BFF61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0.010%</w:t>
            </w:r>
          </w:p>
        </w:tc>
      </w:tr>
      <w:tr w14:paraId="4DA7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23EFA8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50-100亿元（含100亿元）</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084BEB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0.008%</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6C7C18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0.008%</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2F9D13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0.008%</w:t>
            </w:r>
          </w:p>
        </w:tc>
      </w:tr>
      <w:tr w14:paraId="04C6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4112"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09D71A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100亿元以上</w:t>
            </w:r>
          </w:p>
        </w:tc>
        <w:tc>
          <w:tcPr>
            <w:tcW w:w="1440"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09F332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0.004%</w:t>
            </w:r>
          </w:p>
        </w:tc>
        <w:tc>
          <w:tcPr>
            <w:tcW w:w="1418"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2E963E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0.004%</w:t>
            </w:r>
          </w:p>
        </w:tc>
        <w:tc>
          <w:tcPr>
            <w:tcW w:w="1405" w:type="dxa"/>
            <w:tcBorders>
              <w:top w:val="single" w:color="999999" w:sz="6" w:space="0"/>
              <w:left w:val="single" w:color="999999" w:sz="6" w:space="0"/>
              <w:bottom w:val="single" w:color="999999" w:sz="6" w:space="0"/>
              <w:right w:val="single" w:color="999999" w:sz="6" w:space="0"/>
            </w:tcBorders>
            <w:shd w:val="clear" w:color="auto" w:fill="F7FAFF"/>
            <w:tcMar>
              <w:top w:w="0" w:type="dxa"/>
              <w:left w:w="75" w:type="dxa"/>
              <w:bottom w:w="0" w:type="dxa"/>
              <w:right w:w="75" w:type="dxa"/>
            </w:tcMar>
            <w:vAlign w:val="center"/>
          </w:tcPr>
          <w:p w14:paraId="6FA663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ind w:left="0" w:right="0" w:firstLine="375"/>
              <w:rPr>
                <w:color w:val="auto"/>
              </w:rPr>
            </w:pPr>
            <w:r>
              <w:rPr>
                <w:rFonts w:hint="eastAsia" w:ascii="微软雅黑" w:hAnsi="微软雅黑" w:eastAsia="微软雅黑" w:cs="微软雅黑"/>
                <w:i w:val="0"/>
                <w:iCs w:val="0"/>
                <w:caps w:val="0"/>
                <w:color w:val="auto"/>
                <w:spacing w:val="0"/>
                <w:sz w:val="24"/>
                <w:szCs w:val="24"/>
              </w:rPr>
              <w:t>0.004%</w:t>
            </w:r>
          </w:p>
        </w:tc>
      </w:tr>
    </w:tbl>
    <w:p w14:paraId="78341C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Style w:val="6"/>
          <w:rFonts w:hint="eastAsia" w:ascii="仿宋" w:hAnsi="仿宋" w:eastAsia="仿宋" w:cs="仿宋"/>
          <w:i w:val="0"/>
          <w:iCs w:val="0"/>
          <w:caps w:val="0"/>
          <w:color w:val="auto"/>
          <w:spacing w:val="0"/>
          <w:kern w:val="2"/>
          <w:sz w:val="30"/>
          <w:szCs w:val="30"/>
          <w:shd w:val="clear" w:fill="F7FAFF"/>
          <w:lang w:bidi="ar-SA"/>
        </w:rPr>
        <w:t>注</w:t>
      </w:r>
      <w:r>
        <w:rPr>
          <w:rFonts w:hint="eastAsia" w:ascii="仿宋" w:hAnsi="仿宋" w:eastAsia="仿宋" w:cs="仿宋"/>
          <w:i w:val="0"/>
          <w:iCs w:val="0"/>
          <w:caps w:val="0"/>
          <w:color w:val="auto"/>
          <w:spacing w:val="0"/>
          <w:sz w:val="30"/>
          <w:szCs w:val="30"/>
          <w:shd w:val="clear" w:fill="F7FAFF"/>
        </w:rPr>
        <w:t>：1.按本表费率计算的收费金额为招标代理服务费的基准价格，不含工程量清单、最高投标限价（招标控制价）或标底的编制费用。</w:t>
      </w:r>
    </w:p>
    <w:p w14:paraId="51259E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2.招标代理服务收费按差额定率累进法计算。</w:t>
      </w:r>
    </w:p>
    <w:p w14:paraId="04BE43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例如: 某工程招标代理业务，项目预算金额（招标控制价）为10000 万元，招标代理服务收费计算如下:</w:t>
      </w:r>
    </w:p>
    <w:p w14:paraId="4D0F3B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shd w:val="clear" w:fill="F7FAFF"/>
        </w:rPr>
      </w:pPr>
      <w:bookmarkStart w:id="1" w:name="_Toc10690"/>
      <w:r>
        <w:rPr>
          <w:rFonts w:hint="eastAsia" w:ascii="仿宋" w:hAnsi="仿宋" w:eastAsia="仿宋" w:cs="仿宋"/>
          <w:i w:val="0"/>
          <w:iCs w:val="0"/>
          <w:caps w:val="0"/>
          <w:color w:val="auto"/>
          <w:spacing w:val="0"/>
          <w:sz w:val="30"/>
          <w:szCs w:val="30"/>
          <w:shd w:val="clear" w:fill="F7FAFF"/>
        </w:rPr>
        <w:t>100万元×1.2%=1.2万元</w:t>
      </w:r>
      <w:bookmarkEnd w:id="1"/>
    </w:p>
    <w:p w14:paraId="3A3DA8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（500-100）万元×1.0%=4万元</w:t>
      </w:r>
    </w:p>
    <w:p w14:paraId="6C04EF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（1000-500） ×0.7%=3.5万元</w:t>
      </w:r>
    </w:p>
    <w:p w14:paraId="6D60F4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（5000-1000）×0.4%=16万元</w:t>
      </w:r>
    </w:p>
    <w:p w14:paraId="546E21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（10000-5000）×0.25%=12.5万元</w:t>
      </w:r>
    </w:p>
    <w:p w14:paraId="451F4A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合计收费=1.2+4+3.5+16+12.5=37.2万元</w:t>
      </w:r>
    </w:p>
    <w:p w14:paraId="41CEDF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3.收费标准的计算基数以项目、标段（包） 的中标金额或预算金额或最高投标限价（招标控制价）为计费基数。</w:t>
      </w:r>
    </w:p>
    <w:p w14:paraId="55C55A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300" w:beforeAutospacing="0" w:after="0" w:afterAutospacing="0"/>
        <w:ind w:left="0" w:right="0" w:firstLine="375"/>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7FAFF"/>
        </w:rPr>
        <w:t>4.根据项目实际需要分段招标并分期分项分专业的，按各标段分别计算各标段招标代理服务费。</w:t>
      </w:r>
    </w:p>
    <w:p w14:paraId="3CBCC68D">
      <w:r>
        <w:rPr>
          <w:rFonts w:hint="eastAsia" w:ascii="仿宋" w:hAnsi="仿宋" w:eastAsia="仿宋" w:cs="仿宋"/>
          <w:i w:val="0"/>
          <w:iCs w:val="0"/>
          <w:caps w:val="0"/>
          <w:color w:val="auto"/>
          <w:spacing w:val="0"/>
          <w:sz w:val="30"/>
          <w:szCs w:val="30"/>
          <w:shd w:val="clear" w:fill="F7FAFF"/>
        </w:rPr>
        <w:t>5.对于小型项目，如按本指导意见计算出的代理服务费，明显低于代理机构代理成本时，招标人与招标代理机构可在书面委托合同中直接约定招标代理服务费的保底价，并明确其具体数额，不足1万元的按1万元收取。</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3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2025-07-29T09:44:52Z</dcterms:created>
  <dc:creator>Admin</dc:creator>
  <cp:lastModifiedBy>。</cp:lastModifiedBy>
  <dcterms:modified xsi:type="dcterms:W3CDTF">2025-07-29T09:45:30Z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eyJoZGlkIjoiYWIwZWI4OGVkZmNkZDkzZTVjYzZjNzVjMmQ0NTY5OGQiLCJ1c2VySWQiOiI1MTIwNjkxNzkifQ==</vt:lpwstr>
  </property>
  <property fmtid="{D5CDD505-2E9C-101B-9397-08002B2CF9AE}" pid="4" name="ICV">
    <vt:lpwstr>D61FF4A204D04067B9EA423E2882B614_12</vt:lpwstr>
  </property>
</Properties>
</file>